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51" w:rsidRDefault="00262151">
      <w:pPr>
        <w:jc w:val="both"/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Решења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судије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суда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Новом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/2015,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  <w:lang w:val="ru-RU"/>
        </w:rPr>
        <w:t>.01.201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, а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чланoвима</w:t>
      </w:r>
      <w:proofErr w:type="spellEnd"/>
      <w:r>
        <w:rPr>
          <w:rFonts w:ascii="Arial" w:hAnsi="Arial" w:cs="Arial"/>
          <w:sz w:val="20"/>
          <w:szCs w:val="20"/>
        </w:rPr>
        <w:t xml:space="preserve"> 131, </w:t>
      </w:r>
      <w:r>
        <w:rPr>
          <w:rFonts w:ascii="Arial" w:hAnsi="Arial" w:cs="Arial"/>
          <w:sz w:val="20"/>
          <w:szCs w:val="20"/>
          <w:lang w:val="ru-RU"/>
        </w:rPr>
        <w:t xml:space="preserve">132 и </w:t>
      </w:r>
      <w:r>
        <w:rPr>
          <w:rFonts w:ascii="Arial" w:hAnsi="Arial" w:cs="Arial"/>
          <w:sz w:val="20"/>
          <w:szCs w:val="20"/>
        </w:rPr>
        <w:t xml:space="preserve">133 </w:t>
      </w:r>
      <w:proofErr w:type="spell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стечају</w:t>
      </w:r>
      <w:proofErr w:type="spellEnd"/>
      <w:r>
        <w:rPr>
          <w:rFonts w:ascii="Arial" w:hAnsi="Arial" w:cs="Arial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i/>
          <w:sz w:val="20"/>
          <w:szCs w:val="20"/>
        </w:rPr>
        <w:t>Службени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гласник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i/>
          <w:sz w:val="20"/>
          <w:szCs w:val="20"/>
        </w:rPr>
        <w:t>Републике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Србије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i/>
          <w:sz w:val="20"/>
          <w:szCs w:val="20"/>
        </w:rPr>
        <w:t>број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104/2009</w:t>
      </w:r>
      <w:r>
        <w:rPr>
          <w:rFonts w:ascii="Arial" w:hAnsi="Arial" w:cs="Arial"/>
          <w:sz w:val="20"/>
          <w:szCs w:val="20"/>
        </w:rPr>
        <w:t xml:space="preserve">) и </w:t>
      </w:r>
      <w:proofErr w:type="spellStart"/>
      <w:r>
        <w:rPr>
          <w:rFonts w:ascii="Arial" w:hAnsi="Arial" w:cs="Arial"/>
          <w:sz w:val="20"/>
          <w:szCs w:val="20"/>
        </w:rPr>
        <w:t>Националним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стандардом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 – </w:t>
      </w:r>
      <w:proofErr w:type="spellStart"/>
      <w:r>
        <w:rPr>
          <w:rFonts w:ascii="Arial" w:hAnsi="Arial" w:cs="Arial"/>
          <w:sz w:val="20"/>
          <w:szCs w:val="20"/>
        </w:rPr>
        <w:t>Национални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стандард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начину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поступку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уновчења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имовине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стечајног</w:t>
      </w:r>
      <w:proofErr w:type="spellEnd"/>
      <w:r>
        <w:rPr>
          <w:rFonts w:ascii="Arial" w:hAnsi="Arial" w:cs="Arial"/>
          <w:sz w:val="20"/>
          <w:szCs w:val="20"/>
        </w:rPr>
        <w:t xml:space="preserve"> («</w:t>
      </w:r>
      <w:proofErr w:type="spellStart"/>
      <w:r>
        <w:rPr>
          <w:rFonts w:ascii="Arial" w:hAnsi="Arial" w:cs="Arial"/>
          <w:i/>
          <w:sz w:val="20"/>
          <w:szCs w:val="20"/>
        </w:rPr>
        <w:t>Службени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гласник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Републике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Србије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i/>
          <w:sz w:val="20"/>
          <w:szCs w:val="20"/>
        </w:rPr>
        <w:t>број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13/2010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стечајни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дужника</w:t>
      </w:r>
      <w:proofErr w:type="spellEnd"/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ДУНАВ ПРОДУКТ ДОО, </w:t>
      </w:r>
      <w:proofErr w:type="spellStart"/>
      <w:r>
        <w:rPr>
          <w:rFonts w:ascii="Arial" w:hAnsi="Arial" w:cs="Arial"/>
          <w:b/>
          <w:sz w:val="20"/>
          <w:szCs w:val="20"/>
        </w:rPr>
        <w:t>Ковиљ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у </w:t>
      </w:r>
      <w:proofErr w:type="spellStart"/>
      <w:r>
        <w:rPr>
          <w:rFonts w:ascii="Arial" w:hAnsi="Arial" w:cs="Arial"/>
          <w:b/>
          <w:sz w:val="20"/>
          <w:szCs w:val="20"/>
        </w:rPr>
        <w:t>стечају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</w:p>
    <w:p w:rsidR="00262151" w:rsidRDefault="00E1368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ул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Лазе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Костића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број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87, </w:t>
      </w:r>
      <w:proofErr w:type="spellStart"/>
      <w:r>
        <w:rPr>
          <w:rFonts w:ascii="Arial" w:hAnsi="Arial" w:cs="Arial"/>
          <w:b/>
          <w:sz w:val="20"/>
          <w:szCs w:val="20"/>
        </w:rPr>
        <w:t>Ковиљ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262151" w:rsidRDefault="00262151">
      <w:pPr>
        <w:rPr>
          <w:rFonts w:ascii="Arial" w:hAnsi="Arial" w:cs="Arial"/>
          <w:b/>
          <w:sz w:val="20"/>
          <w:szCs w:val="20"/>
        </w:rPr>
      </w:pPr>
    </w:p>
    <w:p w:rsidR="00262151" w:rsidRDefault="00262151">
      <w:pPr>
        <w:rPr>
          <w:rFonts w:ascii="Arial" w:hAnsi="Arial" w:cs="Arial"/>
          <w:b/>
          <w:sz w:val="20"/>
          <w:szCs w:val="20"/>
        </w:rPr>
      </w:pPr>
    </w:p>
    <w:p w:rsidR="00262151" w:rsidRDefault="00E136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ОГЛАШАВА</w:t>
      </w:r>
    </w:p>
    <w:p w:rsidR="00262151" w:rsidRDefault="00E1368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Другу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</w:t>
      </w:r>
      <w:r>
        <w:rPr>
          <w:rFonts w:ascii="Arial" w:hAnsi="Arial" w:cs="Arial"/>
          <w:b/>
          <w:sz w:val="20"/>
          <w:szCs w:val="20"/>
        </w:rPr>
        <w:t>родају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покретне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имов</w:t>
      </w:r>
      <w:r>
        <w:rPr>
          <w:rFonts w:ascii="Arial" w:hAnsi="Arial" w:cs="Arial"/>
          <w:b/>
          <w:sz w:val="20"/>
          <w:szCs w:val="20"/>
        </w:rPr>
        <w:t>ине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јавним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надметањем</w:t>
      </w:r>
      <w:proofErr w:type="spellEnd"/>
    </w:p>
    <w:p w:rsidR="00262151" w:rsidRDefault="00262151">
      <w:pPr>
        <w:jc w:val="center"/>
        <w:rPr>
          <w:rFonts w:ascii="Arial" w:hAnsi="Arial" w:cs="Arial"/>
          <w:b/>
          <w:sz w:val="20"/>
          <w:szCs w:val="20"/>
        </w:rPr>
      </w:pPr>
    </w:p>
    <w:p w:rsidR="00262151" w:rsidRDefault="00262151">
      <w:pPr>
        <w:jc w:val="center"/>
        <w:rPr>
          <w:rFonts w:ascii="Arial" w:hAnsi="Arial" w:cs="Arial"/>
          <w:b/>
          <w:sz w:val="20"/>
          <w:szCs w:val="20"/>
        </w:rPr>
      </w:pPr>
    </w:p>
    <w:p w:rsidR="00262151" w:rsidRDefault="00E13687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Покретна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имовина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продаје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према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спецификацији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b/>
          <w:sz w:val="20"/>
          <w:szCs w:val="20"/>
        </w:rPr>
        <w:t>продајној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документацији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/>
          <w:sz w:val="20"/>
          <w:szCs w:val="20"/>
        </w:rPr>
        <w:t>то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990"/>
        <w:gridCol w:w="5276"/>
        <w:gridCol w:w="1744"/>
        <w:gridCol w:w="1866"/>
      </w:tblGrid>
      <w:tr w:rsidR="00262151">
        <w:trPr>
          <w:trHeight w:val="55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Рeдни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2151" w:rsidRDefault="00E136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целине</w:t>
            </w:r>
            <w:proofErr w:type="spellEnd"/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Почетна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динарима</w:t>
            </w:r>
            <w:proofErr w:type="spellEnd"/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Депозит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динарима</w:t>
            </w:r>
            <w:proofErr w:type="spellEnd"/>
          </w:p>
          <w:p w:rsidR="00262151" w:rsidRDefault="002621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151">
        <w:trPr>
          <w:trHeight w:val="55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pStyle w:val="Teloteksta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Пекарска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канцеларијски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инвентар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локацији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Ковиљу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Костића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62151" w:rsidRDefault="00E136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1.575.000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62151" w:rsidRDefault="00E136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900.000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26215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pStyle w:val="Teloteksta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Пекарска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опрема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канцеларијски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инвентар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локацији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локал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Гагаринова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62151" w:rsidRDefault="00E136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323.400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62151" w:rsidRDefault="00E136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184.800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26215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62151" w:rsidRDefault="00E13687">
            <w:pPr>
              <w:pStyle w:val="Teloteksta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Возила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Мерцедес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Спринтер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Мерцедес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Фургон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виљушкар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Stocka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62151" w:rsidRDefault="00E136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413.000,00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262151" w:rsidRDefault="00E1368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236.000,00</w:t>
            </w:r>
          </w:p>
        </w:tc>
      </w:tr>
    </w:tbl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учешће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поступку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правна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физичка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62151" w:rsidRDefault="00E1368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након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добијања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профактуре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уплату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откупа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продајне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износ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10.000,00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сваку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целин</w:t>
      </w:r>
      <w:r>
        <w:rPr>
          <w:rFonts w:ascii="Arial" w:hAnsi="Arial" w:cs="Arial"/>
          <w:sz w:val="20"/>
          <w:szCs w:val="20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  <w:proofErr w:type="spellStart"/>
      <w:r>
        <w:rPr>
          <w:rFonts w:ascii="Arial" w:hAnsi="Arial" w:cs="Arial"/>
          <w:sz w:val="20"/>
          <w:szCs w:val="20"/>
        </w:rPr>
        <w:t>Профактура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преузети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сваког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радног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периоду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17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19 </w:t>
      </w:r>
      <w:proofErr w:type="spellStart"/>
      <w:r>
        <w:rPr>
          <w:rFonts w:ascii="Arial" w:hAnsi="Arial" w:cs="Arial"/>
          <w:sz w:val="20"/>
          <w:szCs w:val="20"/>
        </w:rPr>
        <w:t>часова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адреси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Зора</w:t>
      </w:r>
      <w:r>
        <w:rPr>
          <w:rFonts w:ascii="Arial" w:hAnsi="Arial" w:cs="Arial"/>
          <w:sz w:val="20"/>
          <w:szCs w:val="20"/>
        </w:rPr>
        <w:t>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Зорић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Стефана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Стефановица</w:t>
      </w:r>
      <w:proofErr w:type="spellEnd"/>
      <w:r>
        <w:rPr>
          <w:rFonts w:ascii="Arial" w:hAnsi="Arial" w:cs="Arial"/>
          <w:sz w:val="20"/>
          <w:szCs w:val="20"/>
        </w:rPr>
        <w:t xml:space="preserve"> 18/3, </w:t>
      </w:r>
      <w:proofErr w:type="spellStart"/>
      <w:r>
        <w:rPr>
          <w:rFonts w:ascii="Arial" w:hAnsi="Arial" w:cs="Arial"/>
          <w:sz w:val="20"/>
          <w:szCs w:val="20"/>
        </w:rPr>
        <w:t>Нови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е-</w:t>
      </w:r>
      <w:proofErr w:type="spellStart"/>
      <w:r>
        <w:rPr>
          <w:rFonts w:ascii="Arial" w:hAnsi="Arial" w:cs="Arial"/>
          <w:sz w:val="20"/>
          <w:szCs w:val="20"/>
        </w:rPr>
        <w:t>маил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адресу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2151" w:rsidRDefault="00262151">
      <w:pPr>
        <w:pStyle w:val="ListParagraph"/>
        <w:ind w:left="0"/>
        <w:jc w:val="both"/>
        <w:rPr>
          <w:rFonts w:ascii="Arial" w:hAnsi="Arial" w:cs="Arial"/>
        </w:rPr>
      </w:pPr>
    </w:p>
    <w:p w:rsidR="00262151" w:rsidRDefault="00E13687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уплате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депозит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позивом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редни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целине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огласа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текући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рачун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дужника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: 265201031000667806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Raiffeisen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banka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филијала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неопозиву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првокласну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банкарску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наплативу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позив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важности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08.0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.2017.год.),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најкасније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b/>
          <w:sz w:val="20"/>
          <w:szCs w:val="20"/>
        </w:rPr>
        <w:t>радних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продаје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уплату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06.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>2016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</w:t>
      </w:r>
      <w:proofErr w:type="spellEnd"/>
      <w:r>
        <w:rPr>
          <w:rFonts w:ascii="Arial" w:hAnsi="Arial" w:cs="Arial"/>
          <w:sz w:val="20"/>
          <w:szCs w:val="20"/>
        </w:rPr>
        <w:t xml:space="preserve">.). У </w:t>
      </w:r>
      <w:proofErr w:type="spellStart"/>
      <w:r>
        <w:rPr>
          <w:rFonts w:ascii="Arial" w:hAnsi="Arial" w:cs="Arial"/>
          <w:sz w:val="20"/>
          <w:szCs w:val="20"/>
        </w:rPr>
        <w:t>случају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првокласна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банкар</w:t>
      </w:r>
      <w:r>
        <w:rPr>
          <w:rFonts w:ascii="Arial" w:hAnsi="Arial" w:cs="Arial"/>
          <w:sz w:val="20"/>
          <w:szCs w:val="20"/>
        </w:rPr>
        <w:t>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оригинал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провере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искључиво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лично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Стефана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Стефановића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18/3, </w:t>
      </w:r>
      <w:proofErr w:type="spellStart"/>
      <w:r>
        <w:rPr>
          <w:rFonts w:ascii="Arial" w:hAnsi="Arial" w:cs="Arial"/>
          <w:sz w:val="20"/>
          <w:szCs w:val="20"/>
        </w:rPr>
        <w:t>Нови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најкасније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, У </w:t>
      </w:r>
      <w:proofErr w:type="spellStart"/>
      <w:r>
        <w:rPr>
          <w:rFonts w:ascii="Arial" w:hAnsi="Arial" w:cs="Arial"/>
          <w:sz w:val="20"/>
          <w:szCs w:val="20"/>
        </w:rPr>
        <w:t>обзир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узети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банкарске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пристигну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назначе</w:t>
      </w:r>
      <w:r>
        <w:rPr>
          <w:rFonts w:ascii="Arial" w:hAnsi="Arial" w:cs="Arial"/>
          <w:sz w:val="20"/>
          <w:szCs w:val="20"/>
        </w:rPr>
        <w:t>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назначено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време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62151" w:rsidRDefault="00262151">
      <w:pPr>
        <w:pStyle w:val="ListParagraph"/>
        <w:rPr>
          <w:rFonts w:ascii="Arial" w:hAnsi="Arial" w:cs="Arial"/>
          <w:lang w:val="ru-RU"/>
        </w:rPr>
      </w:pPr>
    </w:p>
    <w:p w:rsidR="00262151" w:rsidRDefault="00E1368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потпишу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изјаву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губитку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враћање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Изјава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саставни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продајне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2151" w:rsidRDefault="0026215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Имовина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купује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виђеном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стању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разгледати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након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откупа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продајне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документације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сваким радним даном од 16.00 до </w:t>
      </w:r>
      <w:r>
        <w:rPr>
          <w:rFonts w:ascii="Arial" w:hAnsi="Arial" w:cs="Arial"/>
          <w:sz w:val="20"/>
          <w:szCs w:val="20"/>
          <w:lang w:val="ru-RU"/>
        </w:rPr>
        <w:t xml:space="preserve">18.00 часова, </w:t>
      </w:r>
      <w:r>
        <w:rPr>
          <w:rFonts w:ascii="Arial" w:hAnsi="Arial" w:cs="Arial"/>
          <w:sz w:val="20"/>
          <w:szCs w:val="20"/>
        </w:rPr>
        <w:t xml:space="preserve"> а </w:t>
      </w:r>
      <w:proofErr w:type="spellStart"/>
      <w:r>
        <w:rPr>
          <w:rFonts w:ascii="Arial" w:hAnsi="Arial" w:cs="Arial"/>
          <w:sz w:val="20"/>
          <w:szCs w:val="20"/>
        </w:rPr>
        <w:t>најкасније</w:t>
      </w:r>
      <w:proofErr w:type="spellEnd"/>
      <w:r>
        <w:rPr>
          <w:rFonts w:ascii="Arial" w:hAnsi="Arial" w:cs="Arial"/>
          <w:sz w:val="20"/>
          <w:szCs w:val="20"/>
        </w:rPr>
        <w:t xml:space="preserve">  3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заказане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продаје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ru-RU"/>
        </w:rPr>
        <w:t xml:space="preserve">уз претходну најаву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управнику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Имовина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погледати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дужника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Ковиљу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Лазе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Костића</w:t>
      </w:r>
      <w:proofErr w:type="spellEnd"/>
      <w:r>
        <w:rPr>
          <w:rFonts w:ascii="Arial" w:hAnsi="Arial" w:cs="Arial"/>
          <w:sz w:val="20"/>
          <w:szCs w:val="20"/>
        </w:rPr>
        <w:t xml:space="preserve"> 87 и у </w:t>
      </w:r>
      <w:proofErr w:type="spellStart"/>
      <w:r>
        <w:rPr>
          <w:rFonts w:ascii="Arial" w:hAnsi="Arial" w:cs="Arial"/>
          <w:sz w:val="20"/>
          <w:szCs w:val="20"/>
        </w:rPr>
        <w:t>локалу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Новом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Саду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Гагаринова</w:t>
      </w:r>
      <w:proofErr w:type="spellEnd"/>
      <w:r>
        <w:rPr>
          <w:rFonts w:ascii="Arial" w:hAnsi="Arial" w:cs="Arial"/>
          <w:sz w:val="20"/>
          <w:szCs w:val="20"/>
        </w:rPr>
        <w:t xml:space="preserve"> 16.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Након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уплате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најкасниј</w:t>
      </w:r>
      <w:r>
        <w:rPr>
          <w:rFonts w:ascii="Arial" w:hAnsi="Arial" w:cs="Arial"/>
          <w:sz w:val="20"/>
          <w:szCs w:val="20"/>
        </w:rPr>
        <w:t>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06.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.2016.год., </w:t>
      </w:r>
      <w:proofErr w:type="spellStart"/>
      <w:r>
        <w:rPr>
          <w:rFonts w:ascii="Arial" w:hAnsi="Arial" w:cs="Arial"/>
          <w:sz w:val="20"/>
          <w:szCs w:val="20"/>
        </w:rPr>
        <w:t>потенцијални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купци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правовремене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евиденције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морају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управнику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попуњен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образац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учешће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надметању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доказ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уплати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копију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банкарске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потписану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изјаву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губитку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овраћај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регистра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привредних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субјеката</w:t>
      </w:r>
      <w:proofErr w:type="spellEnd"/>
      <w:r>
        <w:rPr>
          <w:rFonts w:ascii="Arial" w:hAnsi="Arial" w:cs="Arial"/>
          <w:sz w:val="20"/>
          <w:szCs w:val="20"/>
        </w:rPr>
        <w:t xml:space="preserve"> и ОП </w:t>
      </w:r>
      <w:proofErr w:type="spellStart"/>
      <w:r>
        <w:rPr>
          <w:rFonts w:ascii="Arial" w:hAnsi="Arial" w:cs="Arial"/>
          <w:sz w:val="20"/>
          <w:szCs w:val="20"/>
        </w:rPr>
        <w:t>образац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потенцијални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пријављује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лице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овлашћење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заступање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уколико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присуствује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потенцијални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лично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физичка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заступник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Јавно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надметање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одржаће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.2016. 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 у 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,00 </w:t>
      </w:r>
      <w:proofErr w:type="spellStart"/>
      <w:r>
        <w:rPr>
          <w:rFonts w:ascii="Arial" w:hAnsi="Arial" w:cs="Arial"/>
          <w:sz w:val="20"/>
          <w:szCs w:val="20"/>
        </w:rPr>
        <w:t>часова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просторијама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стечајног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дужника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b/>
          <w:sz w:val="20"/>
          <w:szCs w:val="20"/>
        </w:rPr>
        <w:t>Ковиљу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адреса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Лазе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Костића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87</w:t>
      </w:r>
      <w:r>
        <w:rPr>
          <w:rFonts w:ascii="Arial" w:hAnsi="Arial" w:cs="Arial"/>
          <w:sz w:val="20"/>
          <w:szCs w:val="20"/>
        </w:rPr>
        <w:t>.</w:t>
      </w:r>
    </w:p>
    <w:p w:rsidR="00262151" w:rsidRDefault="00E13687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Регистрација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учесника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почиње</w:t>
      </w:r>
      <w:proofErr w:type="spellEnd"/>
      <w:r>
        <w:rPr>
          <w:rFonts w:ascii="Arial" w:hAnsi="Arial" w:cs="Arial"/>
          <w:sz w:val="20"/>
          <w:szCs w:val="20"/>
        </w:rPr>
        <w:t xml:space="preserve"> у 13</w:t>
      </w:r>
      <w:r>
        <w:rPr>
          <w:rFonts w:ascii="Arial" w:hAnsi="Arial" w:cs="Arial"/>
          <w:sz w:val="20"/>
          <w:szCs w:val="20"/>
          <w:lang w:val="hr-HR"/>
        </w:rPr>
        <w:t>:00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часова</w:t>
      </w:r>
      <w:proofErr w:type="spellEnd"/>
      <w:r>
        <w:rPr>
          <w:rFonts w:ascii="Arial" w:hAnsi="Arial" w:cs="Arial"/>
          <w:sz w:val="20"/>
          <w:szCs w:val="20"/>
        </w:rPr>
        <w:t xml:space="preserve"> ,а </w:t>
      </w:r>
      <w:proofErr w:type="spellStart"/>
      <w:r>
        <w:rPr>
          <w:rFonts w:ascii="Arial" w:hAnsi="Arial" w:cs="Arial"/>
          <w:sz w:val="20"/>
          <w:szCs w:val="20"/>
        </w:rPr>
        <w:t>завршава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r>
        <w:rPr>
          <w:rFonts w:ascii="Arial" w:hAnsi="Arial" w:cs="Arial"/>
          <w:sz w:val="20"/>
          <w:szCs w:val="20"/>
          <w:lang w:val="hr-HR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lang w:val="hr-HR"/>
        </w:rPr>
        <w:t>:50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часова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истој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адреси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262151" w:rsidRDefault="00262151">
      <w:pPr>
        <w:pStyle w:val="Teloteksta"/>
        <w:rPr>
          <w:rFonts w:ascii="Arial" w:hAnsi="Arial" w:cs="Arial"/>
          <w:color w:val="000000"/>
          <w:sz w:val="20"/>
          <w:szCs w:val="20"/>
        </w:rPr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Стечајни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62151" w:rsidRDefault="00E136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региструје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учешћа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надметању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имају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овлашћења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лично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присутна</w:t>
      </w:r>
      <w:proofErr w:type="spellEnd"/>
      <w:r>
        <w:rPr>
          <w:rFonts w:ascii="Arial" w:hAnsi="Arial" w:cs="Arial"/>
          <w:sz w:val="20"/>
          <w:szCs w:val="20"/>
        </w:rPr>
        <w:t>);</w:t>
      </w:r>
    </w:p>
    <w:p w:rsidR="00262151" w:rsidRDefault="00E136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отвара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читајући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правила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надметања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62151" w:rsidRDefault="00E136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позива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понуђену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унапред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</w:t>
      </w:r>
      <w:r>
        <w:rPr>
          <w:rFonts w:ascii="Arial" w:hAnsi="Arial" w:cs="Arial"/>
          <w:sz w:val="20"/>
          <w:szCs w:val="20"/>
        </w:rPr>
        <w:t>ђеним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корацима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увећања</w:t>
      </w:r>
      <w:proofErr w:type="spellEnd"/>
      <w:r>
        <w:rPr>
          <w:rFonts w:ascii="Arial" w:hAnsi="Arial" w:cs="Arial"/>
          <w:sz w:val="20"/>
          <w:szCs w:val="20"/>
        </w:rPr>
        <w:t>, ;</w:t>
      </w:r>
    </w:p>
    <w:p w:rsidR="00262151" w:rsidRDefault="00E136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одржава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надметању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262151" w:rsidRDefault="00E136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проглашава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прихватио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највишу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понуђену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62151" w:rsidRDefault="00E1368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потписује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записник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2151" w:rsidRDefault="00262151">
      <w:pPr>
        <w:pStyle w:val="ListParagraph"/>
        <w:jc w:val="both"/>
        <w:rPr>
          <w:rFonts w:ascii="Arial" w:hAnsi="Arial" w:cs="Arial"/>
        </w:rPr>
      </w:pPr>
    </w:p>
    <w:p w:rsidR="00262151" w:rsidRDefault="00E13687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надметању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победи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депозит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обезбедио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банкарском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депозита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стечајног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дужника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надметања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купопродајног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враћена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гаранција</w:t>
      </w:r>
      <w:proofErr w:type="spellEnd"/>
      <w:r>
        <w:rPr>
          <w:rFonts w:ascii="Arial" w:hAnsi="Arial" w:cs="Arial"/>
        </w:rPr>
        <w:t>;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Купопродајни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потписује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радна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надметања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депозит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обезбеђен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уплаћен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стечајног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дужника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Проглашени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преостали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купопродајне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 8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потписивања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купопродајног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проглашени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закључи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купопродајни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купопродајну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прописаним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роковима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процедури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губи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повраћај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депозита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проглашава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најбољи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најбољи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обаве</w:t>
      </w:r>
      <w:r>
        <w:rPr>
          <w:rFonts w:ascii="Arial" w:hAnsi="Arial" w:cs="Arial"/>
        </w:rPr>
        <w:t>зе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проглашени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купац</w:t>
      </w:r>
      <w:proofErr w:type="spellEnd"/>
      <w:r>
        <w:rPr>
          <w:rFonts w:ascii="Arial" w:hAnsi="Arial" w:cs="Arial"/>
        </w:rPr>
        <w:t xml:space="preserve">. У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најбољи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надметању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депозит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обезбедио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банкарском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одустајања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проглашеног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уплатити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износ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депозита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стечајног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дужника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проглашава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купца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враћена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гаранција</w:t>
      </w:r>
      <w:proofErr w:type="spellEnd"/>
      <w:r>
        <w:rPr>
          <w:rFonts w:ascii="Arial" w:hAnsi="Arial" w:cs="Arial"/>
        </w:rPr>
        <w:t xml:space="preserve">; У </w:t>
      </w:r>
      <w:proofErr w:type="spellStart"/>
      <w:r>
        <w:rPr>
          <w:rFonts w:ascii="Arial" w:hAnsi="Arial" w:cs="Arial"/>
        </w:rPr>
        <w:t>конкретном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случају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купопродајни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потписује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радна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пријема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обавештења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најбољи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проглашава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купца</w:t>
      </w:r>
      <w:proofErr w:type="spellEnd"/>
      <w:r>
        <w:rPr>
          <w:rFonts w:ascii="Arial" w:hAnsi="Arial" w:cs="Arial"/>
        </w:rPr>
        <w:t>.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Учесницима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</w:t>
      </w:r>
      <w:r>
        <w:rPr>
          <w:rFonts w:ascii="Arial" w:hAnsi="Arial" w:cs="Arial"/>
          <w:sz w:val="20"/>
          <w:szCs w:val="20"/>
        </w:rPr>
        <w:t>авном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стекли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статус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другог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најбољег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понуђача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депозит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враћа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року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8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надметања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Уплатилац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губи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повраћај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депозита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складу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Изјавом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губитку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повраћај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депо</w:t>
      </w:r>
      <w:r>
        <w:rPr>
          <w:rFonts w:ascii="Arial" w:hAnsi="Arial" w:cs="Arial"/>
          <w:sz w:val="20"/>
          <w:szCs w:val="20"/>
        </w:rPr>
        <w:t>зита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Порезе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трошкове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произлазе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закљученог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купопродајног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уговора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целости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сноси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купац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E13687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Oвлашћено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лице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ru-RU"/>
        </w:rPr>
        <w:t xml:space="preserve"> стечајни управник Зоран Зорић 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контакт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телефон</w:t>
      </w:r>
      <w:proofErr w:type="spellEnd"/>
      <w:r>
        <w:rPr>
          <w:rFonts w:ascii="Arial" w:hAnsi="Arial" w:cs="Arial"/>
          <w:sz w:val="20"/>
          <w:szCs w:val="20"/>
        </w:rPr>
        <w:t>: 060/54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567.</w:t>
      </w:r>
    </w:p>
    <w:p w:rsidR="00262151" w:rsidRDefault="00262151">
      <w:pPr>
        <w:jc w:val="both"/>
        <w:rPr>
          <w:rFonts w:ascii="Arial" w:hAnsi="Arial" w:cs="Arial"/>
          <w:sz w:val="20"/>
          <w:szCs w:val="20"/>
        </w:rPr>
      </w:pPr>
    </w:p>
    <w:p w:rsidR="00262151" w:rsidRDefault="00262151">
      <w:pPr>
        <w:jc w:val="both"/>
        <w:rPr>
          <w:rFonts w:ascii="Arial" w:hAnsi="Arial" w:cs="Arial"/>
          <w:sz w:val="20"/>
          <w:szCs w:val="20"/>
          <w:lang w:val="ru-RU"/>
        </w:rPr>
      </w:pPr>
    </w:p>
    <w:sectPr w:rsidR="00262151" w:rsidSect="00262151">
      <w:pgSz w:w="12240" w:h="15840"/>
      <w:pgMar w:top="89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572A"/>
    <w:multiLevelType w:val="multilevel"/>
    <w:tmpl w:val="589CD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4951"/>
    <w:multiLevelType w:val="multilevel"/>
    <w:tmpl w:val="E366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724E2"/>
    <w:multiLevelType w:val="multilevel"/>
    <w:tmpl w:val="56DCB8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AE5E5B"/>
    <w:multiLevelType w:val="multilevel"/>
    <w:tmpl w:val="1A2E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262151"/>
    <w:rsid w:val="00262151"/>
    <w:rsid w:val="00E1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15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62151"/>
  </w:style>
  <w:style w:type="character" w:customStyle="1" w:styleId="WW8Num1z1">
    <w:name w:val="WW8Num1z1"/>
    <w:rsid w:val="00262151"/>
  </w:style>
  <w:style w:type="character" w:customStyle="1" w:styleId="WW8Num1z2">
    <w:name w:val="WW8Num1z2"/>
    <w:rsid w:val="00262151"/>
  </w:style>
  <w:style w:type="character" w:customStyle="1" w:styleId="WW8Num1z3">
    <w:name w:val="WW8Num1z3"/>
    <w:rsid w:val="00262151"/>
  </w:style>
  <w:style w:type="character" w:customStyle="1" w:styleId="WW8Num1z4">
    <w:name w:val="WW8Num1z4"/>
    <w:rsid w:val="00262151"/>
  </w:style>
  <w:style w:type="character" w:customStyle="1" w:styleId="WW8Num1z5">
    <w:name w:val="WW8Num1z5"/>
    <w:rsid w:val="00262151"/>
  </w:style>
  <w:style w:type="character" w:customStyle="1" w:styleId="WW8Num1z6">
    <w:name w:val="WW8Num1z6"/>
    <w:rsid w:val="00262151"/>
  </w:style>
  <w:style w:type="character" w:customStyle="1" w:styleId="WW8Num1z7">
    <w:name w:val="WW8Num1z7"/>
    <w:rsid w:val="00262151"/>
  </w:style>
  <w:style w:type="character" w:customStyle="1" w:styleId="WW8Num1z8">
    <w:name w:val="WW8Num1z8"/>
    <w:rsid w:val="00262151"/>
  </w:style>
  <w:style w:type="character" w:customStyle="1" w:styleId="WW8Num2z0">
    <w:name w:val="WW8Num2z0"/>
    <w:rsid w:val="00262151"/>
    <w:rPr>
      <w:rFonts w:ascii="Arial" w:hAnsi="Arial" w:cs="Arial"/>
      <w:sz w:val="20"/>
      <w:szCs w:val="20"/>
      <w:lang w:val="ru-RU"/>
    </w:rPr>
  </w:style>
  <w:style w:type="character" w:customStyle="1" w:styleId="WW8Num2z1">
    <w:name w:val="WW8Num2z1"/>
    <w:rsid w:val="00262151"/>
  </w:style>
  <w:style w:type="character" w:customStyle="1" w:styleId="WW8Num2z2">
    <w:name w:val="WW8Num2z2"/>
    <w:rsid w:val="00262151"/>
  </w:style>
  <w:style w:type="character" w:customStyle="1" w:styleId="WW8Num2z3">
    <w:name w:val="WW8Num2z3"/>
    <w:rsid w:val="00262151"/>
  </w:style>
  <w:style w:type="character" w:customStyle="1" w:styleId="WW8Num2z4">
    <w:name w:val="WW8Num2z4"/>
    <w:rsid w:val="00262151"/>
  </w:style>
  <w:style w:type="character" w:customStyle="1" w:styleId="WW8Num2z5">
    <w:name w:val="WW8Num2z5"/>
    <w:rsid w:val="00262151"/>
  </w:style>
  <w:style w:type="character" w:customStyle="1" w:styleId="WW8Num2z6">
    <w:name w:val="WW8Num2z6"/>
    <w:rsid w:val="00262151"/>
  </w:style>
  <w:style w:type="character" w:customStyle="1" w:styleId="WW8Num2z7">
    <w:name w:val="WW8Num2z7"/>
    <w:rsid w:val="00262151"/>
  </w:style>
  <w:style w:type="character" w:customStyle="1" w:styleId="WW8Num2z8">
    <w:name w:val="WW8Num2z8"/>
    <w:rsid w:val="00262151"/>
  </w:style>
  <w:style w:type="character" w:customStyle="1" w:styleId="WW8Num3z0">
    <w:name w:val="WW8Num3z0"/>
    <w:rsid w:val="00262151"/>
  </w:style>
  <w:style w:type="character" w:customStyle="1" w:styleId="WW8Num3z1">
    <w:name w:val="WW8Num3z1"/>
    <w:rsid w:val="00262151"/>
  </w:style>
  <w:style w:type="character" w:customStyle="1" w:styleId="WW8Num3z2">
    <w:name w:val="WW8Num3z2"/>
    <w:rsid w:val="00262151"/>
  </w:style>
  <w:style w:type="character" w:customStyle="1" w:styleId="WW8Num3z3">
    <w:name w:val="WW8Num3z3"/>
    <w:rsid w:val="00262151"/>
  </w:style>
  <w:style w:type="character" w:customStyle="1" w:styleId="WW8Num3z4">
    <w:name w:val="WW8Num3z4"/>
    <w:rsid w:val="00262151"/>
  </w:style>
  <w:style w:type="character" w:customStyle="1" w:styleId="WW8Num3z5">
    <w:name w:val="WW8Num3z5"/>
    <w:rsid w:val="00262151"/>
  </w:style>
  <w:style w:type="character" w:customStyle="1" w:styleId="WW8Num3z6">
    <w:name w:val="WW8Num3z6"/>
    <w:rsid w:val="00262151"/>
  </w:style>
  <w:style w:type="character" w:customStyle="1" w:styleId="WW8Num3z7">
    <w:name w:val="WW8Num3z7"/>
    <w:rsid w:val="00262151"/>
  </w:style>
  <w:style w:type="character" w:customStyle="1" w:styleId="WW8Num3z8">
    <w:name w:val="WW8Num3z8"/>
    <w:rsid w:val="00262151"/>
  </w:style>
  <w:style w:type="character" w:customStyle="1" w:styleId="WW8Num4z0">
    <w:name w:val="WW8Num4z0"/>
    <w:rsid w:val="00262151"/>
  </w:style>
  <w:style w:type="character" w:customStyle="1" w:styleId="WW8Num4z1">
    <w:name w:val="WW8Num4z1"/>
    <w:rsid w:val="00262151"/>
  </w:style>
  <w:style w:type="character" w:customStyle="1" w:styleId="WW8Num4z2">
    <w:name w:val="WW8Num4z2"/>
    <w:rsid w:val="00262151"/>
  </w:style>
  <w:style w:type="character" w:customStyle="1" w:styleId="WW8Num4z3">
    <w:name w:val="WW8Num4z3"/>
    <w:rsid w:val="00262151"/>
  </w:style>
  <w:style w:type="character" w:customStyle="1" w:styleId="WW8Num4z4">
    <w:name w:val="WW8Num4z4"/>
    <w:rsid w:val="00262151"/>
  </w:style>
  <w:style w:type="character" w:customStyle="1" w:styleId="WW8Num4z5">
    <w:name w:val="WW8Num4z5"/>
    <w:rsid w:val="00262151"/>
  </w:style>
  <w:style w:type="character" w:customStyle="1" w:styleId="WW8Num4z6">
    <w:name w:val="WW8Num4z6"/>
    <w:rsid w:val="00262151"/>
  </w:style>
  <w:style w:type="character" w:customStyle="1" w:styleId="WW8Num4z7">
    <w:name w:val="WW8Num4z7"/>
    <w:rsid w:val="00262151"/>
  </w:style>
  <w:style w:type="character" w:customStyle="1" w:styleId="WW8Num4z8">
    <w:name w:val="WW8Num4z8"/>
    <w:rsid w:val="00262151"/>
  </w:style>
  <w:style w:type="character" w:customStyle="1" w:styleId="BodyTextChar">
    <w:name w:val="Body Text Char"/>
    <w:rsid w:val="00262151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character" w:customStyle="1" w:styleId="HeaderChar">
    <w:name w:val="Header Char"/>
    <w:rsid w:val="00262151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26215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rsid w:val="0026215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odyTextIndentChar">
    <w:name w:val="Body Text Indent Char"/>
    <w:rsid w:val="00262151"/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javanje">
    <w:name w:val="Naslovljavanje"/>
    <w:basedOn w:val="Normal"/>
    <w:next w:val="Teloteksta"/>
    <w:rsid w:val="0026215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loteksta">
    <w:name w:val="Telo teksta"/>
    <w:basedOn w:val="Normal"/>
    <w:rsid w:val="00262151"/>
    <w:pPr>
      <w:jc w:val="both"/>
    </w:pPr>
    <w:rPr>
      <w:b/>
      <w:color w:val="0000FF"/>
    </w:rPr>
  </w:style>
  <w:style w:type="paragraph" w:customStyle="1" w:styleId="Lista">
    <w:name w:val="Lista"/>
    <w:basedOn w:val="Teloteksta"/>
    <w:rsid w:val="00262151"/>
    <w:rPr>
      <w:rFonts w:cs="Arial"/>
    </w:rPr>
  </w:style>
  <w:style w:type="paragraph" w:customStyle="1" w:styleId="Natpis">
    <w:name w:val="Natpis"/>
    <w:basedOn w:val="Normal"/>
    <w:rsid w:val="002621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rsid w:val="00262151"/>
    <w:pPr>
      <w:suppressLineNumbers/>
    </w:pPr>
    <w:rPr>
      <w:rFonts w:cs="Arial"/>
    </w:rPr>
  </w:style>
  <w:style w:type="paragraph" w:styleId="ListParagraph">
    <w:name w:val="List Paragraph"/>
    <w:basedOn w:val="Normal"/>
    <w:rsid w:val="00262151"/>
    <w:pPr>
      <w:spacing w:after="0"/>
      <w:ind w:left="720"/>
      <w:contextualSpacing/>
    </w:pPr>
    <w:rPr>
      <w:sz w:val="20"/>
      <w:szCs w:val="20"/>
    </w:rPr>
  </w:style>
  <w:style w:type="paragraph" w:customStyle="1" w:styleId="Zaglavlje">
    <w:name w:val="Zaglavlje"/>
    <w:basedOn w:val="Normal"/>
    <w:rsid w:val="00262151"/>
    <w:pPr>
      <w:tabs>
        <w:tab w:val="center" w:pos="4680"/>
        <w:tab w:val="right" w:pos="9360"/>
      </w:tabs>
    </w:pPr>
  </w:style>
  <w:style w:type="paragraph" w:customStyle="1" w:styleId="Podnoje">
    <w:name w:val="Podnožje"/>
    <w:basedOn w:val="Normal"/>
    <w:rsid w:val="0026215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262151"/>
    <w:rPr>
      <w:rFonts w:ascii="Segoe UI" w:hAnsi="Segoe UI" w:cs="Segoe UI"/>
      <w:sz w:val="18"/>
      <w:szCs w:val="18"/>
    </w:rPr>
  </w:style>
  <w:style w:type="paragraph" w:customStyle="1" w:styleId="Uvlaenjetelateksta">
    <w:name w:val="Uvlačenje tela teksta"/>
    <w:basedOn w:val="Normal"/>
    <w:rsid w:val="00262151"/>
    <w:pPr>
      <w:spacing w:after="120"/>
      <w:ind w:left="360"/>
    </w:pPr>
  </w:style>
  <w:style w:type="paragraph" w:customStyle="1" w:styleId="Sadrajtabele">
    <w:name w:val="Sadržaj tabele"/>
    <w:basedOn w:val="Normal"/>
    <w:rsid w:val="00262151"/>
    <w:pPr>
      <w:suppressLineNumbers/>
    </w:pPr>
  </w:style>
  <w:style w:type="paragraph" w:customStyle="1" w:styleId="Zaglavljetabele">
    <w:name w:val="Zaglavlje tabele"/>
    <w:basedOn w:val="Sadrajtabele"/>
    <w:rsid w:val="0026215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4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Ст</dc:title>
  <dc:creator>Ana Ignjatovic</dc:creator>
  <cp:lastModifiedBy>igor</cp:lastModifiedBy>
  <cp:revision>2</cp:revision>
  <cp:lastPrinted>2015-10-16T14:24:00Z</cp:lastPrinted>
  <dcterms:created xsi:type="dcterms:W3CDTF">2016-11-10T09:24:00Z</dcterms:created>
  <dcterms:modified xsi:type="dcterms:W3CDTF">2016-11-10T09:24:00Z</dcterms:modified>
</cp:coreProperties>
</file>